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оложение о порядке возврата платежей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возврата платежей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права на использование программного продукта для ЭВМ, расположенного на сайте </w:t>
      </w:r>
      <w:hyperlink r:id="rId8" w:tooltip="http://zvonobot.ru/" w:history="1">
        <w:r>
          <w:rPr>
            <w:rStyle w:val="621"/>
            <w:rFonts w:ascii="Times New Roman" w:hAnsi="Times New Roman" w:cs="Times New Roman"/>
            <w:sz w:val="28"/>
            <w:szCs w:val="28"/>
          </w:rPr>
          <w:t xml:space="preserve">http://zvonobot.ru/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– программный продукт, программное обеспечение)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регламентирует основания, условия и порядок возврата оплаченных Пользователями денежных средств.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применяется ко всем договорным отношениям, которые возникают между Пользователем и </w:t>
      </w:r>
      <w:r>
        <w:rPr>
          <w:rFonts w:ascii="Times New Roman" w:hAnsi="Times New Roman" w:cs="Times New Roman"/>
          <w:sz w:val="28"/>
          <w:szCs w:val="28"/>
        </w:rPr>
        <w:t xml:space="preserve">Обществом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права пользования программным 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условиями Пользовательского соглашения и публичной оферты обязанностью Правообладателя является предоставление права использования Программного продукта. Доступ к функционалу программного обеспечения предоставляется удаленно посредством сети Интернет.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денежных средств возможен исключительно в случаях </w:t>
      </w:r>
      <w:r>
        <w:rPr>
          <w:rFonts w:ascii="Times New Roman" w:hAnsi="Times New Roman" w:cs="Times New Roman"/>
          <w:sz w:val="28"/>
          <w:szCs w:val="28"/>
        </w:rPr>
        <w:t xml:space="preserve">не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права использования Программного продукта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Претензионные письма о </w:t>
      </w:r>
      <w:r>
        <w:rPr>
          <w:rFonts w:ascii="Times New Roman" w:hAnsi="Times New Roman" w:cs="Times New Roman"/>
          <w:sz w:val="28"/>
          <w:szCs w:val="28"/>
        </w:rPr>
        <w:t xml:space="preserve">непредоставлени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права использования Программного продукта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Пользователь может направлять на официальный электронный 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Общества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info@zvonobot.ru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Обществом</w:t>
      </w:r>
      <w:r>
        <w:rPr>
          <w:rFonts w:ascii="Times New Roman" w:hAnsi="Times New Roman" w:cs="Times New Roman"/>
          <w:sz w:val="28"/>
          <w:szCs w:val="28"/>
        </w:rPr>
        <w:t xml:space="preserve"> обращения от Пользователя, </w:t>
      </w:r>
      <w:r>
        <w:rPr>
          <w:rFonts w:ascii="Times New Roman" w:hAnsi="Times New Roman" w:cs="Times New Roman"/>
          <w:sz w:val="28"/>
          <w:szCs w:val="28"/>
        </w:rPr>
        <w:t xml:space="preserve">Общество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такое обращение и предоставляет Пользователю ответ.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Общество </w:t>
      </w:r>
      <w:r>
        <w:rPr>
          <w:rFonts w:ascii="Times New Roman" w:hAnsi="Times New Roman" w:cs="Times New Roman"/>
          <w:sz w:val="28"/>
          <w:szCs w:val="28"/>
        </w:rPr>
        <w:t xml:space="preserve">посчитает требования Пользователя правомерными и обоснованными, </w:t>
      </w:r>
      <w:r>
        <w:rPr>
          <w:rFonts w:ascii="Times New Roman" w:hAnsi="Times New Roman" w:cs="Times New Roman"/>
          <w:sz w:val="28"/>
          <w:szCs w:val="28"/>
        </w:rPr>
        <w:t xml:space="preserve">Общество </w:t>
      </w:r>
      <w:r>
        <w:rPr>
          <w:rFonts w:ascii="Times New Roman" w:hAnsi="Times New Roman" w:cs="Times New Roman"/>
          <w:sz w:val="28"/>
          <w:szCs w:val="28"/>
        </w:rPr>
        <w:t xml:space="preserve">может вернуть Пользователю оплаченные денежные средства. Возврат средств осуществляется по реквизитам, откуда такие средства были оплачены. 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Общество </w:t>
      </w:r>
      <w:r>
        <w:rPr>
          <w:rFonts w:ascii="Times New Roman" w:hAnsi="Times New Roman" w:cs="Times New Roman"/>
          <w:sz w:val="28"/>
          <w:szCs w:val="28"/>
        </w:rPr>
        <w:t xml:space="preserve">имеет право удержать комиссионный сбор, в размере 10% от суммы платежа, за перечисление денежных средств Пользователю.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Любые другие спорные ситуации, которые касаются требования Пользователя возврата (полного или частичного) оплаченных денежных средств осуществляются в досудебном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публичной офертой.</w:t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character" w:styleId="621">
    <w:name w:val="Hyperlink"/>
    <w:basedOn w:val="618"/>
    <w:uiPriority w:val="99"/>
    <w:unhideWhenUsed/>
    <w:rPr>
      <w:color w:val="0563c1" w:themeColor="hyperlink"/>
      <w:u w:val="single"/>
    </w:rPr>
  </w:style>
  <w:style w:type="character" w:styleId="622">
    <w:name w:val="Unresolved Mention"/>
    <w:basedOn w:val="618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zvonobot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Могила</dc:creator>
  <cp:keywords/>
  <dc:description/>
  <cp:lastModifiedBy>Денис Белов</cp:lastModifiedBy>
  <cp:revision>2</cp:revision>
  <dcterms:created xsi:type="dcterms:W3CDTF">2023-10-02T11:17:00Z</dcterms:created>
  <dcterms:modified xsi:type="dcterms:W3CDTF">2023-10-03T10:15:34Z</dcterms:modified>
</cp:coreProperties>
</file>